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F483A50" w14:textId="77777777" w:rsidR="00F03483" w:rsidRDefault="00F03483">
      <w:pPr>
        <w:pStyle w:val="Heading1"/>
        <w:spacing w:after="360"/>
        <w:jc w:val="center"/>
        <w:rPr>
          <w:rFonts w:ascii="Calibri" w:eastAsia="Calibri" w:hAnsi="Calibri" w:cs="Calibri"/>
          <w:b/>
          <w:bCs/>
          <w:color w:val="0B5394"/>
          <w:sz w:val="34"/>
          <w:szCs w:val="34"/>
        </w:rPr>
      </w:pPr>
      <w:bookmarkStart w:id="0" w:name="_kr7sd8qc05sl" w:colFirst="0" w:colLast="0"/>
      <w:bookmarkEnd w:id="0"/>
    </w:p>
    <w:p w14:paraId="50F1D7D1" w14:textId="77777777" w:rsidR="00F03483" w:rsidRDefault="00DB1C29">
      <w:pPr>
        <w:pStyle w:val="Heading1"/>
        <w:spacing w:after="360"/>
        <w:jc w:val="center"/>
        <w:rPr>
          <w:rFonts w:ascii="Calibri" w:eastAsia="Calibri" w:hAnsi="Calibri" w:cs="Calibri"/>
          <w:color w:val="0B5394"/>
          <w:sz w:val="38"/>
          <w:szCs w:val="38"/>
        </w:rPr>
      </w:pPr>
      <w:bookmarkStart w:id="1" w:name="_9mamoh32eya6" w:colFirst="0" w:colLast="0"/>
      <w:bookmarkEnd w:id="1"/>
      <w:r>
        <w:rPr>
          <w:rFonts w:ascii="Calibri" w:eastAsia="Calibri" w:hAnsi="Calibri" w:cs="Calibri"/>
          <w:b/>
          <w:bCs/>
          <w:color w:val="0B5394"/>
          <w:sz w:val="34"/>
          <w:szCs w:val="34"/>
        </w:rPr>
        <w:t>Teacher Talking Points – Survey Slide Deck</w:t>
      </w:r>
    </w:p>
    <w:p w14:paraId="68F15513" w14:textId="77777777" w:rsidR="00F03483" w:rsidRDefault="00F03483">
      <w:pPr>
        <w:jc w:val="center"/>
        <w:rPr>
          <w:rFonts w:ascii="Calibri" w:eastAsia="Calibri" w:hAnsi="Calibri" w:cs="Calibri"/>
          <w:b/>
          <w:bCs/>
        </w:rPr>
      </w:pPr>
    </w:p>
    <w:tbl>
      <w:tblPr>
        <w:tblStyle w:val="a"/>
        <w:tblW w:w="1431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4080"/>
        <w:gridCol w:w="10230"/>
      </w:tblGrid>
      <w:tr w:rsidR="00F03483" w14:paraId="5BA89428" w14:textId="77777777" w:rsidTr="00DF1545">
        <w:trPr>
          <w:trHeight w:val="305"/>
          <w:tblHeader/>
        </w:trPr>
        <w:tc>
          <w:tcPr>
            <w:tcW w:w="4080" w:type="dxa"/>
            <w:tcBorders>
              <w:top w:val="single" w:sz="8" w:space="0" w:color="000000"/>
              <w:left w:val="single" w:sz="8" w:space="0" w:color="000000"/>
              <w:bottom w:val="single" w:sz="8" w:space="0" w:color="000000"/>
              <w:right w:val="single" w:sz="8" w:space="0" w:color="000000"/>
            </w:tcBorders>
            <w:shd w:val="clear" w:color="auto" w:fill="0B5394"/>
            <w:tcMar>
              <w:top w:w="0" w:type="dxa"/>
              <w:left w:w="0" w:type="dxa"/>
              <w:bottom w:w="0" w:type="dxa"/>
              <w:right w:w="0" w:type="dxa"/>
            </w:tcMar>
          </w:tcPr>
          <w:p w14:paraId="0D59A62D" w14:textId="77777777" w:rsidR="00F03483" w:rsidRDefault="00DB1C29">
            <w:pPr>
              <w:widowControl w:val="0"/>
              <w:spacing w:before="240" w:after="240" w:line="240" w:lineRule="auto"/>
              <w:jc w:val="center"/>
              <w:rPr>
                <w:rFonts w:ascii="Calibri" w:eastAsia="Calibri" w:hAnsi="Calibri" w:cs="Calibri"/>
                <w:b/>
                <w:bCs/>
                <w:color w:val="FFFFFF"/>
              </w:rPr>
            </w:pPr>
            <w:r>
              <w:rPr>
                <w:rFonts w:ascii="Calibri" w:eastAsia="Calibri" w:hAnsi="Calibri" w:cs="Calibri"/>
                <w:b/>
                <w:bCs/>
                <w:color w:val="FFFFFF"/>
              </w:rPr>
              <w:t>Purpose of Slide</w:t>
            </w:r>
          </w:p>
        </w:tc>
        <w:tc>
          <w:tcPr>
            <w:tcW w:w="10230" w:type="dxa"/>
            <w:tcBorders>
              <w:top w:val="single" w:sz="8" w:space="0" w:color="000000"/>
              <w:left w:val="single" w:sz="8" w:space="0" w:color="000000"/>
              <w:bottom w:val="single" w:sz="8" w:space="0" w:color="000000"/>
              <w:right w:val="single" w:sz="8" w:space="0" w:color="000000"/>
            </w:tcBorders>
            <w:shd w:val="clear" w:color="auto" w:fill="0B5394"/>
            <w:tcMar>
              <w:top w:w="0" w:type="dxa"/>
              <w:left w:w="0" w:type="dxa"/>
              <w:bottom w:w="0" w:type="dxa"/>
              <w:right w:w="0" w:type="dxa"/>
            </w:tcMar>
          </w:tcPr>
          <w:p w14:paraId="4348D1E2" w14:textId="77777777" w:rsidR="00F03483" w:rsidRDefault="00DB1C29">
            <w:pPr>
              <w:widowControl w:val="0"/>
              <w:spacing w:before="240" w:after="240" w:line="240" w:lineRule="auto"/>
              <w:jc w:val="center"/>
              <w:rPr>
                <w:rFonts w:ascii="Calibri" w:eastAsia="Calibri" w:hAnsi="Calibri" w:cs="Calibri"/>
                <w:b/>
                <w:bCs/>
                <w:color w:val="FFFFFF"/>
              </w:rPr>
            </w:pPr>
            <w:r>
              <w:rPr>
                <w:rFonts w:ascii="Calibri" w:eastAsia="Calibri" w:hAnsi="Calibri" w:cs="Calibri"/>
                <w:b/>
                <w:bCs/>
                <w:color w:val="FFFFFF"/>
              </w:rPr>
              <w:t>Talking Points If Questions / Comments Come up</w:t>
            </w:r>
          </w:p>
        </w:tc>
      </w:tr>
      <w:tr w:rsidR="00F03483" w14:paraId="54159CEB" w14:textId="77777777" w:rsidTr="00DF1545">
        <w:trPr>
          <w:trHeight w:val="3252"/>
        </w:trPr>
        <w:tc>
          <w:tcPr>
            <w:tcW w:w="4080" w:type="dxa"/>
            <w:tcBorders>
              <w:top w:val="single" w:sz="8" w:space="0" w:color="000000"/>
              <w:left w:val="single" w:sz="8" w:space="0" w:color="000000"/>
              <w:bottom w:val="single" w:sz="8" w:space="0" w:color="000000"/>
              <w:right w:val="single" w:sz="8" w:space="0" w:color="000000"/>
            </w:tcBorders>
            <w:shd w:val="clear" w:color="auto" w:fill="CFE2F3"/>
            <w:tcMar>
              <w:top w:w="215" w:type="dxa"/>
              <w:left w:w="215" w:type="dxa"/>
              <w:bottom w:w="215" w:type="dxa"/>
              <w:right w:w="215" w:type="dxa"/>
            </w:tcMar>
          </w:tcPr>
          <w:p w14:paraId="6D48A030" w14:textId="77777777" w:rsidR="00F03483" w:rsidRDefault="00DB1C29">
            <w:pPr>
              <w:widowControl w:val="0"/>
              <w:spacing w:before="240" w:after="240" w:line="240" w:lineRule="auto"/>
              <w:jc w:val="center"/>
              <w:rPr>
                <w:rFonts w:ascii="Calibri" w:eastAsia="Calibri" w:hAnsi="Calibri" w:cs="Calibri"/>
              </w:rPr>
            </w:pPr>
            <w:r>
              <w:rPr>
                <w:rFonts w:ascii="Calibri" w:eastAsia="Calibri" w:hAnsi="Calibri" w:cs="Calibri"/>
                <w:b/>
                <w:bCs/>
                <w:shd w:val="clear" w:color="auto" w:fill="FCE5CD"/>
              </w:rPr>
              <w:t>SLIDE 1:</w:t>
            </w:r>
            <w:r>
              <w:rPr>
                <w:rFonts w:ascii="Calibri" w:eastAsia="Calibri" w:hAnsi="Calibri" w:cs="Calibri"/>
                <w:b/>
                <w:bCs/>
              </w:rPr>
              <w:t xml:space="preserve"> Provides quick background on Executive Order 25-09</w:t>
            </w:r>
            <w:r>
              <w:rPr>
                <w:rFonts w:ascii="Calibri" w:eastAsia="Calibri" w:hAnsi="Calibri" w:cs="Calibri"/>
              </w:rPr>
              <w:t xml:space="preserve"> </w:t>
            </w:r>
          </w:p>
          <w:p w14:paraId="16365397" w14:textId="77777777" w:rsidR="00F03483" w:rsidRDefault="00DB1C29">
            <w:pPr>
              <w:widowControl w:val="0"/>
              <w:spacing w:before="240" w:after="240" w:line="240" w:lineRule="auto"/>
              <w:jc w:val="center"/>
              <w:rPr>
                <w:rFonts w:ascii="Calibri" w:eastAsia="Calibri" w:hAnsi="Calibri" w:cs="Calibri"/>
              </w:rPr>
            </w:pPr>
            <w:r>
              <w:rPr>
                <w:rFonts w:ascii="Calibri" w:eastAsia="Calibri" w:hAnsi="Calibri" w:cs="Calibri"/>
                <w:noProof/>
              </w:rPr>
              <w:drawing>
                <wp:inline distT="114300" distB="114300" distL="114300" distR="114300" wp14:anchorId="3014C7F9" wp14:editId="47A1F3D4">
                  <wp:extent cx="1614488" cy="906495"/>
                  <wp:effectExtent l="0" t="0" r="0" b="0"/>
                  <wp:docPr id="5" name="image2.jpg" descr="Schools Limiting Cell Phones. Student Voice Survey on Cell Phones and Learning."/>
                  <wp:cNvGraphicFramePr/>
                  <a:graphic xmlns:a="http://schemas.openxmlformats.org/drawingml/2006/main">
                    <a:graphicData uri="http://schemas.openxmlformats.org/drawingml/2006/picture">
                      <pic:pic xmlns:pic="http://schemas.openxmlformats.org/drawingml/2006/picture">
                        <pic:nvPicPr>
                          <pic:cNvPr id="5" name="image2.jpg" descr="Schools Limiting Cell Phones. Student Voice Survey on Cell Phones and Learning."/>
                          <pic:cNvPicPr preferRelativeResize="0"/>
                        </pic:nvPicPr>
                        <pic:blipFill>
                          <a:blip r:embed="rId5"/>
                          <a:srcRect/>
                          <a:stretch>
                            <a:fillRect/>
                          </a:stretch>
                        </pic:blipFill>
                        <pic:spPr>
                          <a:xfrm>
                            <a:off x="0" y="0"/>
                            <a:ext cx="1614488" cy="906495"/>
                          </a:xfrm>
                          <a:prstGeom prst="rect">
                            <a:avLst/>
                          </a:prstGeom>
                          <a:ln/>
                        </pic:spPr>
                      </pic:pic>
                    </a:graphicData>
                  </a:graphic>
                </wp:inline>
              </w:drawing>
            </w:r>
          </w:p>
        </w:tc>
        <w:tc>
          <w:tcPr>
            <w:tcW w:w="10230" w:type="dxa"/>
            <w:tcBorders>
              <w:top w:val="single" w:sz="8" w:space="0" w:color="000000"/>
              <w:left w:val="single" w:sz="8" w:space="0" w:color="000000"/>
              <w:bottom w:val="single" w:sz="8" w:space="0" w:color="000000"/>
              <w:right w:val="single" w:sz="8" w:space="0" w:color="000000"/>
            </w:tcBorders>
            <w:tcMar>
              <w:top w:w="215" w:type="dxa"/>
              <w:left w:w="215" w:type="dxa"/>
              <w:bottom w:w="215" w:type="dxa"/>
              <w:right w:w="215" w:type="dxa"/>
            </w:tcMar>
          </w:tcPr>
          <w:p w14:paraId="3D318EF7" w14:textId="77777777" w:rsidR="00F03483" w:rsidRDefault="00F03483">
            <w:pPr>
              <w:widowControl w:val="0"/>
              <w:spacing w:after="200" w:line="240" w:lineRule="auto"/>
              <w:rPr>
                <w:rFonts w:ascii="Calibri" w:eastAsia="Calibri" w:hAnsi="Calibri" w:cs="Calibri"/>
                <w:b/>
                <w:bCs/>
              </w:rPr>
            </w:pPr>
            <w:hyperlink r:id="rId6">
              <w:r>
                <w:rPr>
                  <w:rFonts w:ascii="Calibri" w:eastAsia="Calibri" w:hAnsi="Calibri" w:cs="Calibri"/>
                  <w:b/>
                  <w:bCs/>
                  <w:color w:val="1155CC"/>
                  <w:u w:val="single"/>
                </w:rPr>
                <w:t xml:space="preserve">Executive Order (EO) 25-09 </w:t>
              </w:r>
            </w:hyperlink>
            <w:r w:rsidR="00DB1C29">
              <w:rPr>
                <w:rFonts w:ascii="Calibri" w:eastAsia="Calibri" w:hAnsi="Calibri" w:cs="Calibri"/>
                <w:b/>
                <w:bCs/>
              </w:rPr>
              <w:t>was signed into law on July 2, 2025 by Governor Tina Kotek.</w:t>
            </w:r>
          </w:p>
          <w:p w14:paraId="31465BAB" w14:textId="77777777" w:rsidR="00F03483" w:rsidRDefault="00DB1C29">
            <w:pPr>
              <w:widowControl w:val="0"/>
              <w:numPr>
                <w:ilvl w:val="0"/>
                <w:numId w:val="2"/>
              </w:numPr>
              <w:spacing w:after="200" w:line="240" w:lineRule="auto"/>
              <w:rPr>
                <w:rFonts w:ascii="Calibri" w:eastAsia="Calibri" w:hAnsi="Calibri" w:cs="Calibri"/>
              </w:rPr>
            </w:pPr>
            <w:r>
              <w:rPr>
                <w:rFonts w:ascii="Calibri" w:eastAsia="Calibri" w:hAnsi="Calibri" w:cs="Calibri"/>
              </w:rPr>
              <w:t>Requires Oregon public school districts to restrict cell phone and personal electronic device (PED) access in all grades (K-12) for the entire school day including lunch time and passing periods.</w:t>
            </w:r>
          </w:p>
          <w:p w14:paraId="733782F7" w14:textId="77777777" w:rsidR="00F03483" w:rsidRDefault="00DB1C29">
            <w:pPr>
              <w:widowControl w:val="0"/>
              <w:numPr>
                <w:ilvl w:val="0"/>
                <w:numId w:val="2"/>
              </w:numPr>
              <w:spacing w:after="200" w:line="240" w:lineRule="auto"/>
              <w:rPr>
                <w:rFonts w:ascii="Calibri" w:eastAsia="Calibri" w:hAnsi="Calibri" w:cs="Calibri"/>
              </w:rPr>
            </w:pPr>
            <w:r>
              <w:rPr>
                <w:rFonts w:ascii="Calibri" w:eastAsia="Calibri" w:hAnsi="Calibri" w:cs="Calibri"/>
              </w:rPr>
              <w:t>See additional EO details in slide 4 below</w:t>
            </w:r>
          </w:p>
          <w:p w14:paraId="33A82163" w14:textId="77777777" w:rsidR="00F03483" w:rsidRDefault="00DB1C29">
            <w:pPr>
              <w:widowControl w:val="0"/>
              <w:numPr>
                <w:ilvl w:val="0"/>
                <w:numId w:val="2"/>
              </w:numPr>
              <w:spacing w:after="200" w:line="240" w:lineRule="auto"/>
              <w:rPr>
                <w:rFonts w:ascii="Calibri" w:eastAsia="Calibri" w:hAnsi="Calibri" w:cs="Calibri"/>
                <w:i/>
                <w:iCs/>
              </w:rPr>
            </w:pPr>
            <w:r>
              <w:rPr>
                <w:rFonts w:ascii="Calibri" w:eastAsia="Calibri" w:hAnsi="Calibri" w:cs="Calibri"/>
                <w:i/>
                <w:iCs/>
              </w:rPr>
              <w:t xml:space="preserve">For Teacher Reference: </w:t>
            </w:r>
            <w:hyperlink r:id="rId7">
              <w:r w:rsidR="00F03483">
                <w:rPr>
                  <w:rFonts w:ascii="Calibri" w:eastAsia="Calibri" w:hAnsi="Calibri" w:cs="Calibri"/>
                  <w:i/>
                  <w:iCs/>
                  <w:color w:val="1155CC"/>
                  <w:u w:val="single"/>
                </w:rPr>
                <w:t>ODE EO FAQ</w:t>
              </w:r>
            </w:hyperlink>
          </w:p>
        </w:tc>
      </w:tr>
      <w:tr w:rsidR="00F03483" w14:paraId="002F279F" w14:textId="77777777" w:rsidTr="00DF1545">
        <w:trPr>
          <w:trHeight w:val="3252"/>
        </w:trPr>
        <w:tc>
          <w:tcPr>
            <w:tcW w:w="4080" w:type="dxa"/>
            <w:tcBorders>
              <w:top w:val="single" w:sz="8" w:space="0" w:color="000000"/>
              <w:left w:val="single" w:sz="8" w:space="0" w:color="000000"/>
              <w:bottom w:val="single" w:sz="8" w:space="0" w:color="000000"/>
              <w:right w:val="single" w:sz="8" w:space="0" w:color="000000"/>
            </w:tcBorders>
            <w:shd w:val="clear" w:color="auto" w:fill="CFE2F3"/>
            <w:tcMar>
              <w:top w:w="215" w:type="dxa"/>
              <w:left w:w="215" w:type="dxa"/>
              <w:bottom w:w="215" w:type="dxa"/>
              <w:right w:w="215" w:type="dxa"/>
            </w:tcMar>
          </w:tcPr>
          <w:p w14:paraId="5C31C7EC" w14:textId="77777777" w:rsidR="00F03483" w:rsidRDefault="00DB1C29">
            <w:pPr>
              <w:widowControl w:val="0"/>
              <w:spacing w:before="240" w:after="240" w:line="240" w:lineRule="auto"/>
              <w:rPr>
                <w:rFonts w:ascii="Calibri" w:eastAsia="Calibri" w:hAnsi="Calibri" w:cs="Calibri"/>
                <w:b/>
                <w:bCs/>
              </w:rPr>
            </w:pPr>
            <w:r>
              <w:rPr>
                <w:rFonts w:ascii="Calibri" w:eastAsia="Calibri" w:hAnsi="Calibri" w:cs="Calibri"/>
                <w:b/>
                <w:bCs/>
                <w:shd w:val="clear" w:color="auto" w:fill="FCE5CD"/>
              </w:rPr>
              <w:t xml:space="preserve">SLIDE 2: </w:t>
            </w:r>
            <w:r>
              <w:rPr>
                <w:rFonts w:ascii="Calibri" w:eastAsia="Calibri" w:hAnsi="Calibri" w:cs="Calibri"/>
                <w:b/>
                <w:bCs/>
              </w:rPr>
              <w:t>Acknowledges student feelings and explains that the purpose of the Executive Order (EO) is to benefit student learning and mental health.</w:t>
            </w:r>
          </w:p>
          <w:p w14:paraId="7CCF9FCB" w14:textId="77777777" w:rsidR="00F03483" w:rsidRDefault="00DB1C29">
            <w:pPr>
              <w:widowControl w:val="0"/>
              <w:spacing w:before="240" w:after="240" w:line="240" w:lineRule="auto"/>
              <w:jc w:val="center"/>
              <w:rPr>
                <w:rFonts w:ascii="Calibri" w:eastAsia="Calibri" w:hAnsi="Calibri" w:cs="Calibri"/>
              </w:rPr>
            </w:pPr>
            <w:r>
              <w:rPr>
                <w:rFonts w:ascii="Calibri" w:eastAsia="Calibri" w:hAnsi="Calibri" w:cs="Calibri"/>
                <w:noProof/>
              </w:rPr>
              <w:drawing>
                <wp:inline distT="114300" distB="114300" distL="114300" distR="114300" wp14:anchorId="7C8F8FE2" wp14:editId="1080C9BD">
                  <wp:extent cx="1700213" cy="954628"/>
                  <wp:effectExtent l="0" t="0" r="0" b="0"/>
                  <wp:docPr id="1" name="image1.jpg" descr="Poster saying &quot;Let's be honest...&quot; with information about cell phone use."/>
                  <wp:cNvGraphicFramePr/>
                  <a:graphic xmlns:a="http://schemas.openxmlformats.org/drawingml/2006/main">
                    <a:graphicData uri="http://schemas.openxmlformats.org/drawingml/2006/picture">
                      <pic:pic xmlns:pic="http://schemas.openxmlformats.org/drawingml/2006/picture">
                        <pic:nvPicPr>
                          <pic:cNvPr id="1" name="image1.jpg" descr="Poster saying &quot;Let's be honest...&quot; with information about cell phone use."/>
                          <pic:cNvPicPr preferRelativeResize="0"/>
                        </pic:nvPicPr>
                        <pic:blipFill>
                          <a:blip r:embed="rId8"/>
                          <a:srcRect/>
                          <a:stretch>
                            <a:fillRect/>
                          </a:stretch>
                        </pic:blipFill>
                        <pic:spPr>
                          <a:xfrm>
                            <a:off x="0" y="0"/>
                            <a:ext cx="1700213" cy="954628"/>
                          </a:xfrm>
                          <a:prstGeom prst="rect">
                            <a:avLst/>
                          </a:prstGeom>
                          <a:ln/>
                        </pic:spPr>
                      </pic:pic>
                    </a:graphicData>
                  </a:graphic>
                </wp:inline>
              </w:drawing>
            </w:r>
          </w:p>
        </w:tc>
        <w:tc>
          <w:tcPr>
            <w:tcW w:w="10230" w:type="dxa"/>
            <w:tcBorders>
              <w:top w:val="single" w:sz="8" w:space="0" w:color="000000"/>
              <w:left w:val="single" w:sz="8" w:space="0" w:color="000000"/>
              <w:bottom w:val="single" w:sz="8" w:space="0" w:color="000000"/>
              <w:right w:val="single" w:sz="8" w:space="0" w:color="000000"/>
            </w:tcBorders>
            <w:tcMar>
              <w:top w:w="215" w:type="dxa"/>
              <w:left w:w="215" w:type="dxa"/>
              <w:bottom w:w="215" w:type="dxa"/>
              <w:right w:w="215" w:type="dxa"/>
            </w:tcMar>
          </w:tcPr>
          <w:p w14:paraId="443220A3" w14:textId="77777777" w:rsidR="00F03483" w:rsidRDefault="00DB1C29">
            <w:pPr>
              <w:widowControl w:val="0"/>
              <w:spacing w:after="200" w:line="240" w:lineRule="auto"/>
              <w:rPr>
                <w:rFonts w:ascii="Calibri" w:eastAsia="Calibri" w:hAnsi="Calibri" w:cs="Calibri"/>
                <w:b/>
                <w:bCs/>
              </w:rPr>
            </w:pPr>
            <w:r>
              <w:rPr>
                <w:rFonts w:ascii="Calibri" w:eastAsia="Calibri" w:hAnsi="Calibri" w:cs="Calibri"/>
                <w:b/>
                <w:bCs/>
              </w:rPr>
              <w:t>The goal of the Executive Order (EO) and the new policies are about helping students focus, feel better, and connect more during the school day.</w:t>
            </w:r>
          </w:p>
          <w:p w14:paraId="521AEAA6" w14:textId="77777777" w:rsidR="00F03483" w:rsidRDefault="00DB1C29">
            <w:pPr>
              <w:widowControl w:val="0"/>
              <w:numPr>
                <w:ilvl w:val="0"/>
                <w:numId w:val="4"/>
              </w:numPr>
              <w:spacing w:after="200" w:line="240" w:lineRule="auto"/>
              <w:rPr>
                <w:rFonts w:ascii="Calibri" w:eastAsia="Calibri" w:hAnsi="Calibri" w:cs="Calibri"/>
              </w:rPr>
            </w:pPr>
            <w:r>
              <w:rPr>
                <w:rFonts w:ascii="Calibri" w:eastAsia="Calibri" w:hAnsi="Calibri" w:cs="Calibri"/>
              </w:rPr>
              <w:t>Emphasize that this is not about blaming or punishing students or taking things away for no reason.</w:t>
            </w:r>
          </w:p>
          <w:p w14:paraId="6DA8CF8C" w14:textId="77777777" w:rsidR="00F03483" w:rsidRDefault="00DB1C29">
            <w:pPr>
              <w:widowControl w:val="0"/>
              <w:numPr>
                <w:ilvl w:val="0"/>
                <w:numId w:val="4"/>
              </w:numPr>
              <w:spacing w:before="240" w:after="200" w:line="240" w:lineRule="auto"/>
              <w:rPr>
                <w:rFonts w:ascii="Calibri" w:eastAsia="Calibri" w:hAnsi="Calibri" w:cs="Calibri"/>
              </w:rPr>
            </w:pPr>
            <w:r>
              <w:rPr>
                <w:rFonts w:ascii="Calibri" w:eastAsia="Calibri" w:hAnsi="Calibri" w:cs="Calibri"/>
              </w:rPr>
              <w:t>Validate reactions and frustrations that may come up. Let students know it’s normal to feel frustrated or unsure. This can help lower resistance and open the door for honest discussion and the importance of giving their honest input on the survey.</w:t>
            </w:r>
          </w:p>
        </w:tc>
      </w:tr>
      <w:tr w:rsidR="00F03483" w14:paraId="44F506F0" w14:textId="77777777" w:rsidTr="00DF1545">
        <w:tc>
          <w:tcPr>
            <w:tcW w:w="4080" w:type="dxa"/>
            <w:tcBorders>
              <w:top w:val="single" w:sz="8" w:space="0" w:color="000000"/>
              <w:left w:val="single" w:sz="8" w:space="0" w:color="000000"/>
              <w:bottom w:val="single" w:sz="8" w:space="0" w:color="000000"/>
              <w:right w:val="single" w:sz="8" w:space="0" w:color="000000"/>
            </w:tcBorders>
            <w:shd w:val="clear" w:color="auto" w:fill="CFE2F3"/>
            <w:tcMar>
              <w:top w:w="215" w:type="dxa"/>
              <w:left w:w="215" w:type="dxa"/>
              <w:bottom w:w="215" w:type="dxa"/>
              <w:right w:w="215" w:type="dxa"/>
            </w:tcMar>
          </w:tcPr>
          <w:p w14:paraId="2C0FB8AF" w14:textId="77777777" w:rsidR="00F03483" w:rsidRDefault="00DB1C29">
            <w:pPr>
              <w:widowControl w:val="0"/>
              <w:spacing w:before="240" w:after="240" w:line="240" w:lineRule="auto"/>
              <w:rPr>
                <w:rFonts w:ascii="Calibri" w:eastAsia="Calibri" w:hAnsi="Calibri" w:cs="Calibri"/>
                <w:b/>
                <w:bCs/>
              </w:rPr>
            </w:pPr>
            <w:r>
              <w:rPr>
                <w:rFonts w:ascii="Calibri" w:eastAsia="Calibri" w:hAnsi="Calibri" w:cs="Calibri"/>
                <w:b/>
                <w:bCs/>
                <w:shd w:val="clear" w:color="auto" w:fill="FCE5CD"/>
              </w:rPr>
              <w:lastRenderedPageBreak/>
              <w:t xml:space="preserve">SLIDE 3: </w:t>
            </w:r>
            <w:r>
              <w:rPr>
                <w:rFonts w:ascii="Calibri" w:eastAsia="Calibri" w:hAnsi="Calibri" w:cs="Calibri"/>
                <w:b/>
                <w:bCs/>
              </w:rPr>
              <w:t>Explains the WHY</w:t>
            </w:r>
          </w:p>
          <w:p w14:paraId="722CD4B5" w14:textId="77777777" w:rsidR="00F03483" w:rsidRDefault="00DB1C29">
            <w:pPr>
              <w:widowControl w:val="0"/>
              <w:spacing w:before="240" w:after="240" w:line="240" w:lineRule="auto"/>
              <w:jc w:val="center"/>
              <w:rPr>
                <w:rFonts w:ascii="Calibri" w:eastAsia="Calibri" w:hAnsi="Calibri" w:cs="Calibri"/>
                <w:b/>
                <w:bCs/>
                <w:i/>
                <w:iCs/>
              </w:rPr>
            </w:pPr>
            <w:r>
              <w:rPr>
                <w:rFonts w:ascii="Calibri" w:eastAsia="Calibri" w:hAnsi="Calibri" w:cs="Calibri"/>
                <w:b/>
                <w:bCs/>
                <w:i/>
                <w:iCs/>
                <w:noProof/>
              </w:rPr>
              <w:drawing>
                <wp:inline distT="114300" distB="114300" distL="114300" distR="114300" wp14:anchorId="6BD8DE02" wp14:editId="4DF1879D">
                  <wp:extent cx="1852613" cy="1037108"/>
                  <wp:effectExtent l="0" t="0" r="0" b="0"/>
                  <wp:docPr id="4" name="image3.jpg" descr="Slide showing what the research tells us about cell phone use. ">
                    <a:extLst xmlns:a="http://schemas.openxmlformats.org/drawingml/2006/main">
                      <a:ext uri="{C183D7F6-B498-43B3-948B-1728B52AA6E4}">
                        <adec:decorative xmlns:adec="http://schemas.microsoft.com/office/drawing/2017/decorative" val="0"/>
                      </a:ext>
                    </a:extLst>
                  </wp:docPr>
                  <wp:cNvGraphicFramePr/>
                  <a:graphic xmlns:a="http://schemas.openxmlformats.org/drawingml/2006/main">
                    <a:graphicData uri="http://schemas.openxmlformats.org/drawingml/2006/picture">
                      <pic:pic xmlns:pic="http://schemas.openxmlformats.org/drawingml/2006/picture">
                        <pic:nvPicPr>
                          <pic:cNvPr id="4" name="image3.jpg" descr="Slide showing what the research tells us about cell phone use. ">
                            <a:extLst>
                              <a:ext uri="{C183D7F6-B498-43B3-948B-1728B52AA6E4}">
                                <adec:decorative xmlns:adec="http://schemas.microsoft.com/office/drawing/2017/decorative" val="0"/>
                              </a:ext>
                            </a:extLst>
                          </pic:cNvPr>
                          <pic:cNvPicPr preferRelativeResize="0"/>
                        </pic:nvPicPr>
                        <pic:blipFill>
                          <a:blip r:embed="rId9"/>
                          <a:srcRect/>
                          <a:stretch>
                            <a:fillRect/>
                          </a:stretch>
                        </pic:blipFill>
                        <pic:spPr>
                          <a:xfrm>
                            <a:off x="0" y="0"/>
                            <a:ext cx="1852613" cy="1037108"/>
                          </a:xfrm>
                          <a:prstGeom prst="rect">
                            <a:avLst/>
                          </a:prstGeom>
                          <a:ln/>
                        </pic:spPr>
                      </pic:pic>
                    </a:graphicData>
                  </a:graphic>
                </wp:inline>
              </w:drawing>
            </w:r>
          </w:p>
        </w:tc>
        <w:tc>
          <w:tcPr>
            <w:tcW w:w="10230" w:type="dxa"/>
            <w:tcBorders>
              <w:top w:val="single" w:sz="8" w:space="0" w:color="000000"/>
              <w:left w:val="single" w:sz="8" w:space="0" w:color="000000"/>
              <w:bottom w:val="single" w:sz="8" w:space="0" w:color="000000"/>
              <w:right w:val="single" w:sz="8" w:space="0" w:color="000000"/>
            </w:tcBorders>
            <w:tcMar>
              <w:top w:w="215" w:type="dxa"/>
              <w:left w:w="215" w:type="dxa"/>
              <w:bottom w:w="215" w:type="dxa"/>
              <w:right w:w="215" w:type="dxa"/>
            </w:tcMar>
          </w:tcPr>
          <w:p w14:paraId="3CE928C1" w14:textId="77777777" w:rsidR="00F03483" w:rsidRDefault="00DB1C29">
            <w:pPr>
              <w:widowControl w:val="0"/>
              <w:spacing w:after="200" w:line="240" w:lineRule="auto"/>
              <w:rPr>
                <w:rFonts w:ascii="Calibri" w:eastAsia="Calibri" w:hAnsi="Calibri" w:cs="Calibri"/>
              </w:rPr>
            </w:pPr>
            <w:r>
              <w:rPr>
                <w:rFonts w:ascii="Calibri" w:eastAsia="Calibri" w:hAnsi="Calibri" w:cs="Calibri"/>
              </w:rPr>
              <w:t>Questions or comments may come up around students feeling like they are being “treated like children” and that they are not mature enough to handle cell phones and other PEDs etc. Teacher responses may include:</w:t>
            </w:r>
          </w:p>
          <w:p w14:paraId="57CD3779" w14:textId="77777777" w:rsidR="00F03483" w:rsidRDefault="00DB1C29">
            <w:pPr>
              <w:widowControl w:val="0"/>
              <w:numPr>
                <w:ilvl w:val="0"/>
                <w:numId w:val="5"/>
              </w:numPr>
              <w:spacing w:line="240" w:lineRule="auto"/>
              <w:rPr>
                <w:rFonts w:ascii="Calibri" w:eastAsia="Calibri" w:hAnsi="Calibri" w:cs="Calibri"/>
              </w:rPr>
            </w:pPr>
            <w:r>
              <w:rPr>
                <w:rFonts w:ascii="Calibri" w:eastAsia="Calibri" w:hAnsi="Calibri" w:cs="Calibri"/>
              </w:rPr>
              <w:t>Cell phones and PEDs impact adults in the same way (addictive etc.), but that school is a place where being distracted can have major consequences on their learning trajectories etc.</w:t>
            </w:r>
          </w:p>
          <w:p w14:paraId="76D6021B" w14:textId="77777777" w:rsidR="00F03483" w:rsidRDefault="00DB1C29">
            <w:pPr>
              <w:widowControl w:val="0"/>
              <w:numPr>
                <w:ilvl w:val="0"/>
                <w:numId w:val="5"/>
              </w:numPr>
              <w:spacing w:line="240" w:lineRule="auto"/>
              <w:rPr>
                <w:rFonts w:ascii="Calibri" w:eastAsia="Calibri" w:hAnsi="Calibri" w:cs="Calibri"/>
              </w:rPr>
            </w:pPr>
            <w:r>
              <w:rPr>
                <w:rFonts w:ascii="Calibri" w:eastAsia="Calibri" w:hAnsi="Calibri" w:cs="Calibri"/>
              </w:rPr>
              <w:t>School should be a “safe place” where the pressure of social media, etc. do not impact student learning and well-being.</w:t>
            </w:r>
          </w:p>
          <w:p w14:paraId="0B1BCE42" w14:textId="77777777" w:rsidR="00F03483" w:rsidRDefault="00DB1C29">
            <w:pPr>
              <w:widowControl w:val="0"/>
              <w:numPr>
                <w:ilvl w:val="0"/>
                <w:numId w:val="5"/>
              </w:numPr>
              <w:spacing w:line="240" w:lineRule="auto"/>
              <w:rPr>
                <w:rFonts w:ascii="Calibri" w:eastAsia="Calibri" w:hAnsi="Calibri" w:cs="Calibri"/>
              </w:rPr>
            </w:pPr>
            <w:r>
              <w:rPr>
                <w:rFonts w:ascii="Calibri" w:eastAsia="Calibri" w:hAnsi="Calibri" w:cs="Calibri"/>
              </w:rPr>
              <w:t>Students have plenty of time outside of the school day to be online, connect on social media etc.</w:t>
            </w:r>
          </w:p>
          <w:p w14:paraId="44C4649C" w14:textId="77777777" w:rsidR="00F03483" w:rsidRDefault="00DB1C29">
            <w:pPr>
              <w:widowControl w:val="0"/>
              <w:numPr>
                <w:ilvl w:val="0"/>
                <w:numId w:val="5"/>
              </w:numPr>
              <w:spacing w:line="240" w:lineRule="auto"/>
              <w:rPr>
                <w:rFonts w:ascii="Calibri" w:eastAsia="Calibri" w:hAnsi="Calibri" w:cs="Calibri"/>
              </w:rPr>
            </w:pPr>
            <w:r>
              <w:rPr>
                <w:rFonts w:ascii="Calibri" w:eastAsia="Calibri" w:hAnsi="Calibri" w:cs="Calibri"/>
              </w:rPr>
              <w:t>More and more research is showing the negative impact PEDs and social media are having on long-term student outcomes and individual mental health and well-being.</w:t>
            </w:r>
          </w:p>
          <w:p w14:paraId="3D549C13" w14:textId="77777777" w:rsidR="00F03483" w:rsidRDefault="00DB1C29">
            <w:pPr>
              <w:widowControl w:val="0"/>
              <w:numPr>
                <w:ilvl w:val="0"/>
                <w:numId w:val="5"/>
              </w:numPr>
              <w:spacing w:line="240" w:lineRule="auto"/>
              <w:rPr>
                <w:rFonts w:ascii="Calibri" w:eastAsia="Calibri" w:hAnsi="Calibri" w:cs="Calibri"/>
              </w:rPr>
            </w:pPr>
            <w:r>
              <w:rPr>
                <w:rFonts w:ascii="Calibri" w:eastAsia="Calibri" w:hAnsi="Calibri" w:cs="Calibri"/>
              </w:rPr>
              <w:t xml:space="preserve">Share that the policy shift is about learning, well-being, and belonging. </w:t>
            </w:r>
            <w:r>
              <w:rPr>
                <w:rFonts w:ascii="Calibri" w:eastAsia="Calibri" w:hAnsi="Calibri" w:cs="Calibri"/>
                <w:i/>
                <w:iCs/>
              </w:rPr>
              <w:t>This is a statewide effort because the issues affect students everywhere.</w:t>
            </w:r>
          </w:p>
          <w:p w14:paraId="71F451DA" w14:textId="77777777" w:rsidR="00F03483" w:rsidRDefault="00DB1C29">
            <w:pPr>
              <w:widowControl w:val="0"/>
              <w:numPr>
                <w:ilvl w:val="0"/>
                <w:numId w:val="5"/>
              </w:numPr>
              <w:spacing w:line="240" w:lineRule="auto"/>
              <w:rPr>
                <w:rFonts w:ascii="Calibri" w:eastAsia="Calibri" w:hAnsi="Calibri" w:cs="Calibri"/>
              </w:rPr>
            </w:pPr>
            <w:r>
              <w:rPr>
                <w:rFonts w:ascii="Calibri" w:eastAsia="Calibri" w:hAnsi="Calibri" w:cs="Calibri"/>
              </w:rPr>
              <w:t>Use examples like notification pressure, comparison on social media, and feeling ‘always on.’ Clarify that reducing phone use at school can give students a break.</w:t>
            </w:r>
          </w:p>
        </w:tc>
      </w:tr>
      <w:tr w:rsidR="00F03483" w14:paraId="4666C1DF" w14:textId="77777777" w:rsidTr="00DF1545">
        <w:tc>
          <w:tcPr>
            <w:tcW w:w="4080" w:type="dxa"/>
            <w:tcBorders>
              <w:top w:val="single" w:sz="8" w:space="0" w:color="000000"/>
              <w:left w:val="single" w:sz="8" w:space="0" w:color="000000"/>
              <w:bottom w:val="single" w:sz="8" w:space="0" w:color="000000"/>
              <w:right w:val="single" w:sz="8" w:space="0" w:color="000000"/>
            </w:tcBorders>
            <w:shd w:val="clear" w:color="auto" w:fill="CFE2F3"/>
            <w:tcMar>
              <w:top w:w="144" w:type="dxa"/>
              <w:left w:w="144" w:type="dxa"/>
              <w:bottom w:w="144" w:type="dxa"/>
              <w:right w:w="144" w:type="dxa"/>
            </w:tcMar>
          </w:tcPr>
          <w:p w14:paraId="07181103" w14:textId="77777777" w:rsidR="00F03483" w:rsidRDefault="00DB1C29">
            <w:pPr>
              <w:widowControl w:val="0"/>
              <w:spacing w:after="240" w:line="240" w:lineRule="auto"/>
              <w:jc w:val="center"/>
              <w:rPr>
                <w:rFonts w:ascii="Calibri" w:eastAsia="Calibri" w:hAnsi="Calibri" w:cs="Calibri"/>
              </w:rPr>
            </w:pPr>
            <w:r>
              <w:rPr>
                <w:rFonts w:ascii="Calibri" w:eastAsia="Calibri" w:hAnsi="Calibri" w:cs="Calibri"/>
                <w:b/>
                <w:bCs/>
                <w:shd w:val="clear" w:color="auto" w:fill="FCE5CD"/>
              </w:rPr>
              <w:t xml:space="preserve">SLIDE 4: </w:t>
            </w:r>
            <w:r>
              <w:rPr>
                <w:rFonts w:ascii="Calibri" w:eastAsia="Calibri" w:hAnsi="Calibri" w:cs="Calibri"/>
                <w:b/>
                <w:bCs/>
              </w:rPr>
              <w:t xml:space="preserve">Explains the Nuts and Bolts of What Changed </w:t>
            </w:r>
            <w:r>
              <w:rPr>
                <w:rFonts w:ascii="Calibri" w:eastAsia="Calibri" w:hAnsi="Calibri" w:cs="Calibri"/>
                <w:noProof/>
              </w:rPr>
              <w:drawing>
                <wp:inline distT="114300" distB="114300" distL="114300" distR="114300" wp14:anchorId="536B06EE" wp14:editId="288E4D1E">
                  <wp:extent cx="1873022" cy="1043980"/>
                  <wp:effectExtent l="0" t="0" r="0" b="0"/>
                  <wp:docPr id="2" name="image4.jpg" descr="Slide explaining the nuts and bolts on what has changed."/>
                  <wp:cNvGraphicFramePr/>
                  <a:graphic xmlns:a="http://schemas.openxmlformats.org/drawingml/2006/main">
                    <a:graphicData uri="http://schemas.openxmlformats.org/drawingml/2006/picture">
                      <pic:pic xmlns:pic="http://schemas.openxmlformats.org/drawingml/2006/picture">
                        <pic:nvPicPr>
                          <pic:cNvPr id="2" name="image4.jpg" descr="Slide explaining the nuts and bolts on what has changed."/>
                          <pic:cNvPicPr preferRelativeResize="0"/>
                        </pic:nvPicPr>
                        <pic:blipFill>
                          <a:blip r:embed="rId10"/>
                          <a:srcRect/>
                          <a:stretch>
                            <a:fillRect/>
                          </a:stretch>
                        </pic:blipFill>
                        <pic:spPr>
                          <a:xfrm>
                            <a:off x="0" y="0"/>
                            <a:ext cx="1873022" cy="1043980"/>
                          </a:xfrm>
                          <a:prstGeom prst="rect">
                            <a:avLst/>
                          </a:prstGeom>
                          <a:ln/>
                        </pic:spPr>
                      </pic:pic>
                    </a:graphicData>
                  </a:graphic>
                </wp:inline>
              </w:drawing>
            </w:r>
          </w:p>
        </w:tc>
        <w:tc>
          <w:tcPr>
            <w:tcW w:w="10230" w:type="dxa"/>
            <w:tcBorders>
              <w:top w:val="single" w:sz="8" w:space="0" w:color="000000"/>
              <w:left w:val="single" w:sz="8" w:space="0" w:color="000000"/>
              <w:bottom w:val="single" w:sz="8" w:space="0" w:color="000000"/>
              <w:right w:val="single" w:sz="8" w:space="0" w:color="000000"/>
            </w:tcBorders>
            <w:tcMar>
              <w:top w:w="144" w:type="dxa"/>
              <w:left w:w="144" w:type="dxa"/>
              <w:bottom w:w="144" w:type="dxa"/>
              <w:right w:w="144" w:type="dxa"/>
            </w:tcMar>
          </w:tcPr>
          <w:p w14:paraId="4151622D" w14:textId="77777777" w:rsidR="00F03483" w:rsidRDefault="00DB1C29">
            <w:pPr>
              <w:widowControl w:val="0"/>
              <w:numPr>
                <w:ilvl w:val="0"/>
                <w:numId w:val="3"/>
              </w:numPr>
              <w:spacing w:after="60" w:line="240" w:lineRule="auto"/>
              <w:ind w:left="360" w:hanging="270"/>
              <w:rPr>
                <w:rFonts w:ascii="Calibri" w:eastAsia="Calibri" w:hAnsi="Calibri" w:cs="Calibri"/>
              </w:rPr>
            </w:pPr>
            <w:r>
              <w:rPr>
                <w:rFonts w:ascii="Calibri" w:eastAsia="Calibri" w:hAnsi="Calibri" w:cs="Calibri"/>
              </w:rPr>
              <w:t>If asked why phones matter even when not used:</w:t>
            </w:r>
          </w:p>
          <w:p w14:paraId="6A303A20" w14:textId="77777777" w:rsidR="00F03483" w:rsidRDefault="00DB1C29">
            <w:pPr>
              <w:widowControl w:val="0"/>
              <w:numPr>
                <w:ilvl w:val="1"/>
                <w:numId w:val="3"/>
              </w:numPr>
              <w:spacing w:after="240" w:line="240" w:lineRule="auto"/>
              <w:rPr>
                <w:rFonts w:ascii="Calibri" w:eastAsia="Calibri" w:hAnsi="Calibri" w:cs="Calibri"/>
              </w:rPr>
            </w:pPr>
            <w:r>
              <w:rPr>
                <w:rFonts w:ascii="Calibri" w:eastAsia="Calibri" w:hAnsi="Calibri" w:cs="Calibri"/>
              </w:rPr>
              <w:t xml:space="preserve">Explain that research shows that alerts, vibrations, and even </w:t>
            </w:r>
            <w:r>
              <w:rPr>
                <w:rFonts w:ascii="Calibri" w:eastAsia="Calibri" w:hAnsi="Calibri" w:cs="Calibri"/>
                <w:i/>
                <w:iCs/>
              </w:rPr>
              <w:t>knowing a phone is nearby</w:t>
            </w:r>
            <w:r>
              <w:rPr>
                <w:rFonts w:ascii="Calibri" w:eastAsia="Calibri" w:hAnsi="Calibri" w:cs="Calibri"/>
              </w:rPr>
              <w:t xml:space="preserve"> can make it harder to concentrate and distract from learning.</w:t>
            </w:r>
          </w:p>
          <w:p w14:paraId="5732DF66" w14:textId="77777777" w:rsidR="00F03483" w:rsidRDefault="00DB1C29">
            <w:pPr>
              <w:widowControl w:val="0"/>
              <w:numPr>
                <w:ilvl w:val="0"/>
                <w:numId w:val="3"/>
              </w:numPr>
              <w:spacing w:after="60" w:line="240" w:lineRule="auto"/>
              <w:ind w:left="360" w:hanging="270"/>
              <w:rPr>
                <w:rFonts w:ascii="Calibri" w:eastAsia="Calibri" w:hAnsi="Calibri" w:cs="Calibri"/>
              </w:rPr>
            </w:pPr>
            <w:r>
              <w:rPr>
                <w:rFonts w:ascii="Calibri" w:eastAsia="Calibri" w:hAnsi="Calibri" w:cs="Calibri"/>
              </w:rPr>
              <w:t>If questions come up around equity and fairness concerns:</w:t>
            </w:r>
          </w:p>
          <w:p w14:paraId="55B13CF8" w14:textId="77777777" w:rsidR="00F03483" w:rsidRDefault="00DB1C29">
            <w:pPr>
              <w:widowControl w:val="0"/>
              <w:numPr>
                <w:ilvl w:val="1"/>
                <w:numId w:val="3"/>
              </w:numPr>
              <w:spacing w:after="240" w:line="240" w:lineRule="auto"/>
              <w:rPr>
                <w:rFonts w:ascii="Calibri" w:eastAsia="Calibri" w:hAnsi="Calibri" w:cs="Calibri"/>
              </w:rPr>
            </w:pPr>
            <w:r>
              <w:rPr>
                <w:rFonts w:ascii="Calibri" w:eastAsia="Calibri" w:hAnsi="Calibri" w:cs="Calibri"/>
              </w:rPr>
              <w:t>Explain that clear rules help avoid confusion, conflict, or feeling singled out. Everyone follows the same expectations. School staff need to be willing to model similar responsible behavior.</w:t>
            </w:r>
          </w:p>
          <w:p w14:paraId="0B7CEC09" w14:textId="77777777" w:rsidR="00F03483" w:rsidRDefault="00DB1C29">
            <w:pPr>
              <w:widowControl w:val="0"/>
              <w:numPr>
                <w:ilvl w:val="0"/>
                <w:numId w:val="3"/>
              </w:numPr>
              <w:spacing w:after="60" w:line="240" w:lineRule="auto"/>
              <w:ind w:left="360" w:hanging="270"/>
              <w:rPr>
                <w:rFonts w:ascii="Calibri" w:eastAsia="Calibri" w:hAnsi="Calibri" w:cs="Calibri"/>
              </w:rPr>
            </w:pPr>
            <w:r>
              <w:rPr>
                <w:rFonts w:ascii="Calibri" w:eastAsia="Calibri" w:hAnsi="Calibri" w:cs="Calibri"/>
              </w:rPr>
              <w:t xml:space="preserve">EO specific questions: </w:t>
            </w:r>
          </w:p>
          <w:p w14:paraId="5277C500" w14:textId="77777777" w:rsidR="00F03483" w:rsidRDefault="00DB1C29">
            <w:pPr>
              <w:widowControl w:val="0"/>
              <w:numPr>
                <w:ilvl w:val="1"/>
                <w:numId w:val="3"/>
              </w:numPr>
              <w:spacing w:after="240" w:line="240" w:lineRule="auto"/>
              <w:rPr>
                <w:rFonts w:ascii="Calibri" w:eastAsia="Calibri" w:hAnsi="Calibri" w:cs="Calibri"/>
              </w:rPr>
            </w:pPr>
            <w:r>
              <w:rPr>
                <w:rFonts w:ascii="Calibri" w:eastAsia="Calibri" w:hAnsi="Calibri" w:cs="Calibri"/>
              </w:rPr>
              <w:t>Oregon requires all public schools to restrict personal electronic devices during the school day. This ensures consistency across districts.</w:t>
            </w:r>
          </w:p>
          <w:p w14:paraId="57CD5F86" w14:textId="77777777" w:rsidR="00F03483" w:rsidRDefault="00DB1C29">
            <w:pPr>
              <w:widowControl w:val="0"/>
              <w:numPr>
                <w:ilvl w:val="0"/>
                <w:numId w:val="3"/>
              </w:numPr>
              <w:spacing w:after="60" w:line="240" w:lineRule="auto"/>
              <w:ind w:left="360" w:hanging="270"/>
              <w:rPr>
                <w:rFonts w:ascii="Calibri" w:eastAsia="Calibri" w:hAnsi="Calibri" w:cs="Calibri"/>
              </w:rPr>
            </w:pPr>
            <w:r>
              <w:rPr>
                <w:rFonts w:ascii="Calibri" w:eastAsia="Calibri" w:hAnsi="Calibri" w:cs="Calibri"/>
              </w:rPr>
              <w:t>Clarify that school-issued devices for learning are still allowed, and schools have systems to communicate with families when needed, including in emergencies.</w:t>
            </w:r>
          </w:p>
          <w:p w14:paraId="7CD67F4D" w14:textId="77777777" w:rsidR="00F03483" w:rsidRDefault="00DB1C29">
            <w:pPr>
              <w:widowControl w:val="0"/>
              <w:numPr>
                <w:ilvl w:val="1"/>
                <w:numId w:val="3"/>
              </w:numPr>
              <w:spacing w:after="240" w:line="240" w:lineRule="auto"/>
              <w:rPr>
                <w:rFonts w:ascii="Calibri" w:eastAsia="Calibri" w:hAnsi="Calibri" w:cs="Calibri"/>
              </w:rPr>
            </w:pPr>
            <w:r>
              <w:rPr>
                <w:rFonts w:ascii="Calibri" w:eastAsia="Calibri" w:hAnsi="Calibri" w:cs="Calibri"/>
              </w:rPr>
              <w:t>Also note that national, state and local law enforcement and emergency response often request that unified communication comes through school communication channels in emergencies.</w:t>
            </w:r>
          </w:p>
          <w:p w14:paraId="4BDEB531" w14:textId="77777777" w:rsidR="00F03483" w:rsidRDefault="00DB1C29">
            <w:pPr>
              <w:widowControl w:val="0"/>
              <w:numPr>
                <w:ilvl w:val="0"/>
                <w:numId w:val="1"/>
              </w:numPr>
              <w:spacing w:after="60" w:line="240" w:lineRule="auto"/>
              <w:ind w:left="360" w:hanging="270"/>
              <w:rPr>
                <w:rFonts w:ascii="Calibri" w:eastAsia="Calibri" w:hAnsi="Calibri" w:cs="Calibri"/>
              </w:rPr>
            </w:pPr>
            <w:r>
              <w:rPr>
                <w:rFonts w:ascii="Calibri" w:eastAsia="Calibri" w:hAnsi="Calibri" w:cs="Calibri"/>
              </w:rPr>
              <w:t>Explain that medical needs, IEPs, 504 plans, and approved circumstances are protected under the Executive Order. Some common individual exemptions may include:</w:t>
            </w:r>
          </w:p>
          <w:p w14:paraId="39D9FB55" w14:textId="77777777" w:rsidR="00F03483" w:rsidRDefault="00DB1C29">
            <w:pPr>
              <w:widowControl w:val="0"/>
              <w:numPr>
                <w:ilvl w:val="1"/>
                <w:numId w:val="1"/>
              </w:numPr>
              <w:spacing w:line="240" w:lineRule="auto"/>
              <w:rPr>
                <w:rFonts w:ascii="Calibri" w:eastAsia="Calibri" w:hAnsi="Calibri" w:cs="Calibri"/>
              </w:rPr>
            </w:pPr>
            <w:r>
              <w:rPr>
                <w:rFonts w:ascii="Calibri" w:eastAsia="Calibri" w:hAnsi="Calibri" w:cs="Calibri"/>
              </w:rPr>
              <w:lastRenderedPageBreak/>
              <w:t>The need to use a PED for dual-enrollment login for college course work.</w:t>
            </w:r>
          </w:p>
          <w:p w14:paraId="7A8BC03F" w14:textId="77777777" w:rsidR="00F03483" w:rsidRDefault="00DB1C29">
            <w:pPr>
              <w:widowControl w:val="0"/>
              <w:numPr>
                <w:ilvl w:val="1"/>
                <w:numId w:val="1"/>
              </w:numPr>
              <w:spacing w:line="240" w:lineRule="auto"/>
              <w:rPr>
                <w:rFonts w:ascii="Calibri" w:eastAsia="Calibri" w:hAnsi="Calibri" w:cs="Calibri"/>
              </w:rPr>
            </w:pPr>
            <w:r>
              <w:rPr>
                <w:rFonts w:ascii="Calibri" w:eastAsia="Calibri" w:hAnsi="Calibri" w:cs="Calibri"/>
              </w:rPr>
              <w:t>To be used as a translation device</w:t>
            </w:r>
          </w:p>
          <w:p w14:paraId="5E5B1EF4" w14:textId="77777777" w:rsidR="00F03483" w:rsidRDefault="00DB1C29">
            <w:pPr>
              <w:widowControl w:val="0"/>
              <w:numPr>
                <w:ilvl w:val="1"/>
                <w:numId w:val="1"/>
              </w:numPr>
              <w:spacing w:after="200" w:line="240" w:lineRule="auto"/>
              <w:rPr>
                <w:rFonts w:ascii="Calibri" w:eastAsia="Calibri" w:hAnsi="Calibri" w:cs="Calibri"/>
              </w:rPr>
            </w:pPr>
            <w:r>
              <w:rPr>
                <w:rFonts w:ascii="Calibri" w:eastAsia="Calibri" w:hAnsi="Calibri" w:cs="Calibri"/>
              </w:rPr>
              <w:t>For specific communication needs with parents / families</w:t>
            </w:r>
          </w:p>
          <w:p w14:paraId="68BF7066" w14:textId="77777777" w:rsidR="00F03483" w:rsidRDefault="00DB1C29">
            <w:pPr>
              <w:widowControl w:val="0"/>
              <w:numPr>
                <w:ilvl w:val="0"/>
                <w:numId w:val="1"/>
              </w:numPr>
              <w:spacing w:after="60" w:line="240" w:lineRule="auto"/>
              <w:ind w:left="360" w:hanging="270"/>
              <w:rPr>
                <w:rFonts w:ascii="Calibri" w:eastAsia="Calibri" w:hAnsi="Calibri" w:cs="Calibri"/>
              </w:rPr>
            </w:pPr>
            <w:r>
              <w:rPr>
                <w:rFonts w:ascii="Calibri" w:eastAsia="Calibri" w:hAnsi="Calibri" w:cs="Calibri"/>
              </w:rPr>
              <w:t>If questions or comments come up around policy violations and punishment:</w:t>
            </w:r>
          </w:p>
          <w:p w14:paraId="1347D944" w14:textId="77777777" w:rsidR="00F03483" w:rsidRDefault="00DB1C29">
            <w:pPr>
              <w:widowControl w:val="0"/>
              <w:numPr>
                <w:ilvl w:val="1"/>
                <w:numId w:val="1"/>
              </w:numPr>
              <w:spacing w:after="240" w:line="240" w:lineRule="auto"/>
              <w:rPr>
                <w:rFonts w:ascii="Calibri" w:eastAsia="Calibri" w:hAnsi="Calibri" w:cs="Calibri"/>
              </w:rPr>
            </w:pPr>
            <w:r>
              <w:rPr>
                <w:rFonts w:ascii="Calibri" w:eastAsia="Calibri" w:hAnsi="Calibri" w:cs="Calibri"/>
              </w:rPr>
              <w:t xml:space="preserve">Remind them that this is a work and progress and students should share their experiences and feedback. </w:t>
            </w:r>
            <w:r>
              <w:rPr>
                <w:rFonts w:ascii="Calibri" w:eastAsia="Calibri" w:hAnsi="Calibri" w:cs="Calibri"/>
                <w:i/>
                <w:iCs/>
              </w:rPr>
              <w:t>Let them know the state and districts expect policies to improve over time based on real experience and that this is the core purpose of the student PED survey.</w:t>
            </w:r>
          </w:p>
        </w:tc>
      </w:tr>
      <w:tr w:rsidR="00F03483" w14:paraId="1D44AA7F" w14:textId="77777777" w:rsidTr="00DF1545">
        <w:tc>
          <w:tcPr>
            <w:tcW w:w="4080" w:type="dxa"/>
            <w:tcBorders>
              <w:top w:val="single" w:sz="8" w:space="0" w:color="000000"/>
              <w:left w:val="single" w:sz="8" w:space="0" w:color="000000"/>
              <w:bottom w:val="single" w:sz="8" w:space="0" w:color="000000"/>
              <w:right w:val="single" w:sz="8" w:space="0" w:color="000000"/>
            </w:tcBorders>
            <w:shd w:val="clear" w:color="auto" w:fill="CFE2F3"/>
            <w:tcMar>
              <w:top w:w="0" w:type="dxa"/>
              <w:left w:w="100" w:type="dxa"/>
              <w:bottom w:w="0" w:type="dxa"/>
              <w:right w:w="100" w:type="dxa"/>
            </w:tcMar>
          </w:tcPr>
          <w:p w14:paraId="1648F604" w14:textId="77777777" w:rsidR="00DB1C29" w:rsidRDefault="00DB1C29">
            <w:pPr>
              <w:widowControl w:val="0"/>
              <w:spacing w:before="200" w:after="240" w:line="240" w:lineRule="auto"/>
              <w:jc w:val="center"/>
              <w:rPr>
                <w:rFonts w:ascii="Calibri" w:eastAsia="Calibri" w:hAnsi="Calibri" w:cs="Calibri"/>
                <w:b/>
                <w:bCs/>
              </w:rPr>
            </w:pPr>
            <w:r>
              <w:rPr>
                <w:rFonts w:ascii="Calibri" w:eastAsia="Calibri" w:hAnsi="Calibri" w:cs="Calibri"/>
                <w:b/>
                <w:bCs/>
                <w:shd w:val="clear" w:color="auto" w:fill="FCE5CD"/>
              </w:rPr>
              <w:lastRenderedPageBreak/>
              <w:t>SLIDE 5</w:t>
            </w:r>
            <w:proofErr w:type="gramStart"/>
            <w:r>
              <w:rPr>
                <w:rFonts w:ascii="Calibri" w:eastAsia="Calibri" w:hAnsi="Calibri" w:cs="Calibri"/>
                <w:b/>
                <w:bCs/>
                <w:shd w:val="clear" w:color="auto" w:fill="FCE5CD"/>
              </w:rPr>
              <w:t>:</w:t>
            </w:r>
            <w:r>
              <w:rPr>
                <w:rFonts w:ascii="Calibri" w:eastAsia="Calibri" w:hAnsi="Calibri" w:cs="Calibri"/>
              </w:rPr>
              <w:t xml:space="preserve">  </w:t>
            </w:r>
            <w:r>
              <w:rPr>
                <w:rFonts w:ascii="Calibri" w:eastAsia="Calibri" w:hAnsi="Calibri" w:cs="Calibri"/>
                <w:b/>
                <w:bCs/>
              </w:rPr>
              <w:t>Provides</w:t>
            </w:r>
            <w:proofErr w:type="gramEnd"/>
            <w:r>
              <w:rPr>
                <w:rFonts w:ascii="Calibri" w:eastAsia="Calibri" w:hAnsi="Calibri" w:cs="Calibri"/>
                <w:b/>
                <w:bCs/>
              </w:rPr>
              <w:t xml:space="preserve"> PED Student Survey Details</w:t>
            </w:r>
          </w:p>
          <w:p w14:paraId="6F285C61" w14:textId="5135C164" w:rsidR="00F03483" w:rsidRDefault="00DB1C29">
            <w:pPr>
              <w:widowControl w:val="0"/>
              <w:spacing w:before="200" w:after="240" w:line="240" w:lineRule="auto"/>
              <w:jc w:val="center"/>
              <w:rPr>
                <w:rFonts w:ascii="Calibri" w:eastAsia="Calibri" w:hAnsi="Calibri" w:cs="Calibri"/>
                <w:b/>
                <w:bCs/>
              </w:rPr>
            </w:pPr>
            <w:r w:rsidRPr="00DB1C29">
              <w:rPr>
                <w:rFonts w:ascii="Calibri" w:eastAsia="Calibri" w:hAnsi="Calibri" w:cs="Calibri"/>
                <w:noProof/>
              </w:rPr>
              <w:drawing>
                <wp:inline distT="0" distB="0" distL="0" distR="0" wp14:anchorId="338A0885" wp14:editId="7208C712">
                  <wp:extent cx="1750116" cy="977900"/>
                  <wp:effectExtent l="0" t="0" r="2540" b="0"/>
                  <wp:docPr id="1466113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113237" name=""/>
                          <pic:cNvPicPr/>
                        </pic:nvPicPr>
                        <pic:blipFill>
                          <a:blip r:embed="rId11"/>
                          <a:stretch>
                            <a:fillRect/>
                          </a:stretch>
                        </pic:blipFill>
                        <pic:spPr>
                          <a:xfrm>
                            <a:off x="0" y="0"/>
                            <a:ext cx="1758729" cy="982713"/>
                          </a:xfrm>
                          <a:prstGeom prst="rect">
                            <a:avLst/>
                          </a:prstGeom>
                        </pic:spPr>
                      </pic:pic>
                    </a:graphicData>
                  </a:graphic>
                </wp:inline>
              </w:drawing>
            </w:r>
          </w:p>
        </w:tc>
        <w:tc>
          <w:tcPr>
            <w:tcW w:w="1023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7A6CE34E" w14:textId="77777777" w:rsidR="00F03483" w:rsidRDefault="00DB1C29">
            <w:pPr>
              <w:widowControl w:val="0"/>
              <w:numPr>
                <w:ilvl w:val="0"/>
                <w:numId w:val="6"/>
              </w:numPr>
              <w:spacing w:before="200" w:after="200" w:line="240" w:lineRule="auto"/>
              <w:ind w:left="450" w:hanging="270"/>
              <w:rPr>
                <w:rFonts w:ascii="Calibri" w:eastAsia="Calibri" w:hAnsi="Calibri" w:cs="Calibri"/>
              </w:rPr>
            </w:pPr>
            <w:r>
              <w:rPr>
                <w:rFonts w:ascii="Calibri" w:eastAsia="Calibri" w:hAnsi="Calibri" w:cs="Calibri"/>
              </w:rPr>
              <w:t>Let students know that their responses are 100% anonymous and they will not get in trouble for anything they add to the survey.</w:t>
            </w:r>
          </w:p>
          <w:p w14:paraId="3E592118" w14:textId="77777777" w:rsidR="00F03483" w:rsidRDefault="00DB1C29">
            <w:pPr>
              <w:widowControl w:val="0"/>
              <w:numPr>
                <w:ilvl w:val="0"/>
                <w:numId w:val="6"/>
              </w:numPr>
              <w:spacing w:before="200" w:after="200" w:line="240" w:lineRule="auto"/>
              <w:ind w:left="450" w:hanging="270"/>
              <w:rPr>
                <w:rFonts w:ascii="Calibri" w:eastAsia="Calibri" w:hAnsi="Calibri" w:cs="Calibri"/>
              </w:rPr>
            </w:pPr>
            <w:r>
              <w:rPr>
                <w:rFonts w:ascii="Calibri" w:eastAsia="Calibri" w:hAnsi="Calibri" w:cs="Calibri"/>
              </w:rPr>
              <w:t>The survey results will be reviewed and analyzed by ODE in collaboration with Oregon’s Youth Advisory Council (YAC) who has already provided input on the Executive Order and the survey itself.</w:t>
            </w:r>
          </w:p>
          <w:p w14:paraId="7C577600" w14:textId="77777777" w:rsidR="00F03483" w:rsidRDefault="00DB1C29">
            <w:pPr>
              <w:widowControl w:val="0"/>
              <w:numPr>
                <w:ilvl w:val="0"/>
                <w:numId w:val="6"/>
              </w:numPr>
              <w:spacing w:before="200" w:after="200" w:line="240" w:lineRule="auto"/>
              <w:ind w:left="450" w:hanging="270"/>
              <w:rPr>
                <w:rFonts w:ascii="Calibri" w:eastAsia="Calibri" w:hAnsi="Calibri" w:cs="Calibri"/>
              </w:rPr>
            </w:pPr>
            <w:r>
              <w:rPr>
                <w:rFonts w:ascii="Calibri" w:eastAsia="Calibri" w:hAnsi="Calibri" w:cs="Calibri"/>
              </w:rPr>
              <w:t>Survey analysis will be included in a report on the Executive Order implementation that will be sent to the Oregon state government, including the Governor’s Office and will help ODE work with school districts to support and improve PED policy implementation across the state.</w:t>
            </w:r>
          </w:p>
          <w:p w14:paraId="4256C780" w14:textId="77777777" w:rsidR="00F03483" w:rsidRDefault="00DB1C29">
            <w:pPr>
              <w:widowControl w:val="0"/>
              <w:numPr>
                <w:ilvl w:val="0"/>
                <w:numId w:val="6"/>
              </w:numPr>
              <w:spacing w:before="200" w:after="200" w:line="240" w:lineRule="auto"/>
              <w:ind w:left="450" w:hanging="270"/>
              <w:rPr>
                <w:rFonts w:ascii="Calibri" w:eastAsia="Calibri" w:hAnsi="Calibri" w:cs="Calibri"/>
              </w:rPr>
            </w:pPr>
            <w:r>
              <w:rPr>
                <w:rFonts w:ascii="Calibri" w:eastAsia="Calibri" w:hAnsi="Calibri" w:cs="Calibri"/>
              </w:rPr>
              <w:t>Remind students that the survey is brief, should take no more than 10 minutes and can be completed on a computer and / or cell phone or other PED.</w:t>
            </w:r>
          </w:p>
          <w:p w14:paraId="163049C0" w14:textId="77777777" w:rsidR="00F03483" w:rsidRDefault="00DB1C29">
            <w:pPr>
              <w:widowControl w:val="0"/>
              <w:numPr>
                <w:ilvl w:val="0"/>
                <w:numId w:val="6"/>
              </w:numPr>
              <w:spacing w:before="200" w:after="200" w:line="240" w:lineRule="auto"/>
              <w:ind w:left="450" w:hanging="270"/>
              <w:rPr>
                <w:rFonts w:ascii="Calibri" w:eastAsia="Calibri" w:hAnsi="Calibri" w:cs="Calibri"/>
              </w:rPr>
            </w:pPr>
            <w:r>
              <w:rPr>
                <w:rFonts w:ascii="Calibri" w:eastAsia="Calibri" w:hAnsi="Calibri" w:cs="Calibri"/>
              </w:rPr>
              <w:t xml:space="preserve">The survey is available in English and Spanish: </w:t>
            </w:r>
          </w:p>
          <w:p w14:paraId="558A12D4" w14:textId="77777777" w:rsidR="00F03483" w:rsidRDefault="00F03483">
            <w:pPr>
              <w:numPr>
                <w:ilvl w:val="1"/>
                <w:numId w:val="6"/>
              </w:numPr>
              <w:rPr>
                <w:rFonts w:ascii="Calibri" w:eastAsia="Calibri" w:hAnsi="Calibri" w:cs="Calibri"/>
              </w:rPr>
            </w:pPr>
            <w:hyperlink r:id="rId12">
              <w:r>
                <w:rPr>
                  <w:rFonts w:ascii="Calibri" w:eastAsia="Calibri" w:hAnsi="Calibri" w:cs="Calibri"/>
                  <w:color w:val="1155CC"/>
                  <w:u w:val="single"/>
                </w:rPr>
                <w:t>https://tinyurl.com/PEDsurvey26</w:t>
              </w:r>
            </w:hyperlink>
          </w:p>
          <w:p w14:paraId="2D01452E" w14:textId="77777777" w:rsidR="00F03483" w:rsidRDefault="00F03483">
            <w:pPr>
              <w:numPr>
                <w:ilvl w:val="1"/>
                <w:numId w:val="6"/>
              </w:numPr>
              <w:rPr>
                <w:rFonts w:ascii="Calibri" w:eastAsia="Calibri" w:hAnsi="Calibri" w:cs="Calibri"/>
              </w:rPr>
            </w:pPr>
            <w:hyperlink r:id="rId13">
              <w:r>
                <w:rPr>
                  <w:rFonts w:ascii="Roboto" w:eastAsia="Roboto" w:hAnsi="Roboto" w:cs="Roboto"/>
                  <w:color w:val="1155CC"/>
                  <w:sz w:val="19"/>
                  <w:szCs w:val="19"/>
                  <w:highlight w:val="white"/>
                  <w:u w:val="single"/>
                </w:rPr>
                <w:t>https://tinyurl.com/PEDsurvey26Spanish</w:t>
              </w:r>
            </w:hyperlink>
          </w:p>
          <w:p w14:paraId="24C7BA59" w14:textId="77777777" w:rsidR="00F03483" w:rsidRDefault="00F03483">
            <w:pPr>
              <w:ind w:left="1440"/>
              <w:rPr>
                <w:rFonts w:ascii="Roboto" w:eastAsia="Roboto" w:hAnsi="Roboto" w:cs="Roboto"/>
                <w:sz w:val="19"/>
                <w:szCs w:val="19"/>
                <w:highlight w:val="white"/>
              </w:rPr>
            </w:pPr>
          </w:p>
        </w:tc>
      </w:tr>
    </w:tbl>
    <w:p w14:paraId="6E4D8C85" w14:textId="77777777" w:rsidR="00F03483" w:rsidRDefault="00F03483">
      <w:pPr>
        <w:rPr>
          <w:rFonts w:ascii="Calibri" w:eastAsia="Calibri" w:hAnsi="Calibri" w:cs="Calibri"/>
          <w:b/>
          <w:bCs/>
        </w:rPr>
      </w:pPr>
    </w:p>
    <w:sectPr w:rsidR="00F03483">
      <w:pgSz w:w="15840" w:h="12240" w:orient="landscape"/>
      <w:pgMar w:top="720" w:right="720" w:bottom="720" w:left="72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3A8996E0-6713-4243-BCFA-44122FD1E387}"/>
    <w:embedBold r:id="rId2" w:fontKey="{7704E726-6C1E-4936-BEEB-F77A97C6BDD0}"/>
    <w:embedItalic r:id="rId3" w:fontKey="{85B7A922-4FC4-4F3C-AF56-9979574845CC}"/>
    <w:embedBoldItalic r:id="rId4" w:fontKey="{0852DF02-6E66-49C6-8547-56E79A354576}"/>
  </w:font>
  <w:font w:name="Roboto">
    <w:charset w:val="00"/>
    <w:family w:val="auto"/>
    <w:pitch w:val="variable"/>
    <w:sig w:usb0="E0000AFF" w:usb1="5000217F" w:usb2="00000021" w:usb3="00000000" w:csb0="0000019F" w:csb1="00000000"/>
    <w:embedRegular r:id="rId5" w:fontKey="{5FAD604D-24D1-43BF-8A9B-6E00B4D9B047}"/>
  </w:font>
  <w:font w:name="Cambria">
    <w:panose1 w:val="02040503050406030204"/>
    <w:charset w:val="00"/>
    <w:family w:val="roman"/>
    <w:pitch w:val="variable"/>
    <w:sig w:usb0="E00006FF" w:usb1="420024FF" w:usb2="02000000" w:usb3="00000000" w:csb0="0000019F" w:csb1="00000000"/>
    <w:embedRegular r:id="rId6" w:fontKey="{385F8722-9036-47FE-BF02-5C9F8B5503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E04F6"/>
    <w:multiLevelType w:val="multilevel"/>
    <w:tmpl w:val="00DE97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274D23"/>
    <w:multiLevelType w:val="multilevel"/>
    <w:tmpl w:val="D45C44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60476133"/>
    <w:multiLevelType w:val="multilevel"/>
    <w:tmpl w:val="72EC55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B457327"/>
    <w:multiLevelType w:val="multilevel"/>
    <w:tmpl w:val="BBF4F1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D686DBA"/>
    <w:multiLevelType w:val="multilevel"/>
    <w:tmpl w:val="83DAA7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C564C88"/>
    <w:multiLevelType w:val="multilevel"/>
    <w:tmpl w:val="FA9CCE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66933427">
    <w:abstractNumId w:val="5"/>
  </w:num>
  <w:num w:numId="2" w16cid:durableId="1866089038">
    <w:abstractNumId w:val="0"/>
  </w:num>
  <w:num w:numId="3" w16cid:durableId="810170399">
    <w:abstractNumId w:val="4"/>
  </w:num>
  <w:num w:numId="4" w16cid:durableId="808671034">
    <w:abstractNumId w:val="2"/>
  </w:num>
  <w:num w:numId="5" w16cid:durableId="1772896848">
    <w:abstractNumId w:val="3"/>
  </w:num>
  <w:num w:numId="6" w16cid:durableId="3168051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3483"/>
    <w:rsid w:val="0004366B"/>
    <w:rsid w:val="00A3715C"/>
    <w:rsid w:val="00CB52F1"/>
    <w:rsid w:val="00DB1C29"/>
    <w:rsid w:val="00DF1545"/>
    <w:rsid w:val="00F034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26F91E"/>
  <w15:docId w15:val="{B8566C84-8BBD-42F0-B7A6-451564E5BD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s://tinyurl.com/PEDsurvey26Spanish" TargetMode="External"/><Relationship Id="rId3" Type="http://schemas.openxmlformats.org/officeDocument/2006/relationships/settings" Target="settings.xml"/><Relationship Id="rId7" Type="http://schemas.openxmlformats.org/officeDocument/2006/relationships/hyperlink" Target="https://www.oregon.gov/ode/educator-resources/teachingcontent/Documents/Personal%20Electronic%20Device%20Policy%20Frequently%20Asked%20Questions.pdf" TargetMode="External"/><Relationship Id="rId12" Type="http://schemas.openxmlformats.org/officeDocument/2006/relationships/hyperlink" Target="https://tinyurl.com/PEDsurvey26"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oregon.gov/ode/educator-resources/teachingcontent/Documents/eo-25-09.pdf" TargetMode="External"/><Relationship Id="rId11" Type="http://schemas.openxmlformats.org/officeDocument/2006/relationships/image" Target="media/image5.png"/><Relationship Id="rId5" Type="http://schemas.openxmlformats.org/officeDocument/2006/relationships/image" Target="media/image1.jpg"/><Relationship Id="rId15" Type="http://schemas.openxmlformats.org/officeDocument/2006/relationships/theme" Target="theme/theme1.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7730ea53-6f5e-4160-81a5-992a9105450a}" enabled="1" method="Standard" siteId="{b4f51418-b269-49a2-935a-fa54bf584fc8}"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3</Pages>
  <Words>858</Words>
  <Characters>4398</Characters>
  <Application>Microsoft Office Word</Application>
  <DocSecurity>0</DocSecurity>
  <Lines>87</Lines>
  <Paragraphs>54</Paragraphs>
  <ScaleCrop>false</ScaleCrop>
  <Company/>
  <LinksUpToDate>false</LinksUpToDate>
  <CharactersWithSpaces>5202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MORRIS Cameron * ODE</dc:creator>
  <cp:lastModifiedBy>MORRIS Cameron * ODE</cp:lastModifiedBy>
  <cp:revision>3</cp:revision>
  <dcterms:created xsi:type="dcterms:W3CDTF">2026-03-20T20:32:00Z</dcterms:created>
  <dcterms:modified xsi:type="dcterms:W3CDTF">2026-03-20T20:33:00Z</dcterms:modified>
</cp:coreProperties>
</file>